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4F4B9A" w:rsidTr="00050DA7">
        <w:tc>
          <w:tcPr>
            <w:tcW w:w="4428" w:type="dxa"/>
          </w:tcPr>
          <w:p w:rsidR="000348ED" w:rsidRPr="004F4B9A" w:rsidRDefault="005D05AC" w:rsidP="004A3703">
            <w:pPr>
              <w:tabs>
                <w:tab w:val="left" w:pos="851"/>
              </w:tabs>
            </w:pPr>
            <w:r w:rsidRPr="004F4B9A">
              <w:t>From:</w:t>
            </w:r>
            <w:r w:rsidRPr="004F4B9A">
              <w:tab/>
            </w:r>
            <w:r w:rsidR="00C43FD7" w:rsidRPr="004F4B9A">
              <w:t>EEP</w:t>
            </w:r>
            <w:r w:rsidR="00CA04AF" w:rsidRPr="004F4B9A">
              <w:t xml:space="preserve"> </w:t>
            </w:r>
            <w:r w:rsidRPr="004F4B9A">
              <w:t>C</w:t>
            </w:r>
            <w:r w:rsidR="00050DA7" w:rsidRPr="004F4B9A">
              <w:t>ommittee</w:t>
            </w:r>
          </w:p>
        </w:tc>
        <w:tc>
          <w:tcPr>
            <w:tcW w:w="5461" w:type="dxa"/>
          </w:tcPr>
          <w:p w:rsidR="00CC7BA3" w:rsidRDefault="00CC7BA3" w:rsidP="005D05AC">
            <w:pPr>
              <w:jc w:val="right"/>
            </w:pPr>
            <w:r>
              <w:t>ANM17/9/9</w:t>
            </w:r>
          </w:p>
          <w:p w:rsidR="000348ED" w:rsidRPr="004F4B9A" w:rsidRDefault="00CC7BA3" w:rsidP="005D05AC">
            <w:pPr>
              <w:jc w:val="right"/>
            </w:pPr>
            <w:r>
              <w:t xml:space="preserve">Formerly </w:t>
            </w:r>
            <w:r w:rsidR="00B272A5">
              <w:t>EEP16/output/7</w:t>
            </w:r>
          </w:p>
        </w:tc>
      </w:tr>
      <w:tr w:rsidR="000348ED" w:rsidRPr="004F4B9A" w:rsidTr="00050DA7">
        <w:tc>
          <w:tcPr>
            <w:tcW w:w="4428" w:type="dxa"/>
          </w:tcPr>
          <w:p w:rsidR="000348ED" w:rsidRPr="004F4B9A" w:rsidRDefault="005D05AC" w:rsidP="00C43FD7">
            <w:pPr>
              <w:tabs>
                <w:tab w:val="left" w:pos="851"/>
              </w:tabs>
            </w:pPr>
            <w:r w:rsidRPr="004F4B9A">
              <w:t>To:</w:t>
            </w:r>
            <w:r w:rsidRPr="004F4B9A">
              <w:tab/>
            </w:r>
            <w:r w:rsidR="00C43FD7" w:rsidRPr="004F4B9A">
              <w:t>ANM</w:t>
            </w:r>
            <w:r w:rsidR="00CA04AF" w:rsidRPr="004F4B9A">
              <w:t xml:space="preserve"> </w:t>
            </w:r>
            <w:r w:rsidR="00902AA4" w:rsidRPr="004F4B9A">
              <w:t>Committee</w:t>
            </w:r>
          </w:p>
        </w:tc>
        <w:tc>
          <w:tcPr>
            <w:tcW w:w="5461" w:type="dxa"/>
          </w:tcPr>
          <w:p w:rsidR="000348ED" w:rsidRPr="004F4B9A" w:rsidRDefault="00374737" w:rsidP="004A3703">
            <w:pPr>
              <w:jc w:val="right"/>
            </w:pPr>
            <w:r>
              <w:t>1 April</w:t>
            </w:r>
            <w:r w:rsidR="005D05AC" w:rsidRPr="004F4B9A">
              <w:t xml:space="preserve"> 20</w:t>
            </w:r>
            <w:r w:rsidR="001A654A" w:rsidRPr="004F4B9A">
              <w:t>1</w:t>
            </w:r>
            <w:r w:rsidR="004A3703" w:rsidRPr="004F4B9A">
              <w:t>1</w:t>
            </w:r>
          </w:p>
        </w:tc>
      </w:tr>
    </w:tbl>
    <w:p w:rsidR="000348ED" w:rsidRPr="004F4B9A" w:rsidRDefault="005D05AC" w:rsidP="005D05AC">
      <w:pPr>
        <w:pStyle w:val="Title"/>
        <w:spacing w:before="480" w:after="120"/>
      </w:pPr>
      <w:r w:rsidRPr="004F4B9A">
        <w:t>Liaison Note</w:t>
      </w:r>
      <w:bookmarkStart w:id="0" w:name="_GoBack"/>
      <w:bookmarkEnd w:id="0"/>
    </w:p>
    <w:p w:rsidR="00C43FD7" w:rsidRPr="004F4B9A" w:rsidRDefault="00C43FD7" w:rsidP="005D05AC">
      <w:pPr>
        <w:pStyle w:val="Title"/>
        <w:spacing w:after="120"/>
        <w:rPr>
          <w:color w:val="000000"/>
        </w:rPr>
      </w:pPr>
      <w:r w:rsidRPr="004F4B9A">
        <w:rPr>
          <w:color w:val="000000"/>
        </w:rPr>
        <w:t>Simulation in the Design of AtoN</w:t>
      </w:r>
    </w:p>
    <w:p w:rsidR="0064435F" w:rsidRPr="004F4B9A" w:rsidRDefault="0064435F" w:rsidP="00135447">
      <w:pPr>
        <w:pStyle w:val="Heading1"/>
        <w:rPr>
          <w:lang w:val="en-GB"/>
        </w:rPr>
      </w:pPr>
      <w:r w:rsidRPr="004F4B9A">
        <w:rPr>
          <w:lang w:val="en-GB"/>
        </w:rPr>
        <w:t>Introduction</w:t>
      </w:r>
    </w:p>
    <w:p w:rsidR="00457502" w:rsidRPr="004F4B9A" w:rsidRDefault="00C43FD7" w:rsidP="00457502">
      <w:pPr>
        <w:pStyle w:val="BodyText"/>
      </w:pPr>
      <w:r w:rsidRPr="004F4B9A">
        <w:t>A liaison note from ANM (EEP16/8/</w:t>
      </w:r>
      <w:r w:rsidR="00C76CE6">
        <w:t>1</w:t>
      </w:r>
      <w:r w:rsidRPr="004F4B9A">
        <w:t xml:space="preserve">2) advised that ANM </w:t>
      </w:r>
      <w:r w:rsidR="005C396A" w:rsidRPr="004F4B9A">
        <w:t>is</w:t>
      </w:r>
      <w:r w:rsidRPr="004F4B9A">
        <w:t xml:space="preserve"> devising a supplementary guideline to Guideline 1058, which aims to provide </w:t>
      </w:r>
      <w:r w:rsidRPr="004F4B9A">
        <w:rPr>
          <w:i/>
        </w:rPr>
        <w:t>technical</w:t>
      </w:r>
      <w:r w:rsidRPr="004F4B9A">
        <w:t xml:space="preserve"> detail for simulator providers and procurers of simulators to ensure appropriate components and quality for AtoN features.</w:t>
      </w:r>
      <w:r w:rsidR="00457502" w:rsidRPr="004F4B9A">
        <w:t xml:space="preserve">  This is being developed to satisfy the expression by AtoN designers, developers and </w:t>
      </w:r>
      <w:proofErr w:type="gramStart"/>
      <w:r w:rsidR="00457502" w:rsidRPr="004F4B9A">
        <w:t>researchers</w:t>
      </w:r>
      <w:r w:rsidR="00D24C6D">
        <w:t>,</w:t>
      </w:r>
      <w:r w:rsidR="00457502" w:rsidRPr="004F4B9A">
        <w:t xml:space="preserve"> that</w:t>
      </w:r>
      <w:proofErr w:type="gramEnd"/>
      <w:r w:rsidR="00457502" w:rsidRPr="004F4B9A">
        <w:t xml:space="preserve"> they wish to go deeper into how simulation can be more specifically used for:</w:t>
      </w:r>
    </w:p>
    <w:p w:rsidR="00457502" w:rsidRPr="004F4B9A" w:rsidRDefault="00457502" w:rsidP="00457502">
      <w:pPr>
        <w:pStyle w:val="Bullet1"/>
        <w:rPr>
          <w:lang w:val="en-GB"/>
        </w:rPr>
      </w:pPr>
      <w:r w:rsidRPr="004F4B9A">
        <w:rPr>
          <w:lang w:val="en-GB"/>
        </w:rPr>
        <w:t>Comparison of individual light sources</w:t>
      </w:r>
    </w:p>
    <w:p w:rsidR="00457502" w:rsidRPr="004F4B9A" w:rsidRDefault="00457502" w:rsidP="00457502">
      <w:pPr>
        <w:pStyle w:val="Bullet1"/>
        <w:rPr>
          <w:lang w:val="en-GB"/>
        </w:rPr>
      </w:pPr>
      <w:r w:rsidRPr="004F4B9A">
        <w:rPr>
          <w:lang w:val="en-GB"/>
        </w:rPr>
        <w:t>R</w:t>
      </w:r>
      <w:r w:rsidR="005C396A" w:rsidRPr="004F4B9A">
        <w:rPr>
          <w:lang w:val="en-GB"/>
        </w:rPr>
        <w:t xml:space="preserve">esearch </w:t>
      </w:r>
      <w:r w:rsidRPr="004F4B9A">
        <w:rPr>
          <w:lang w:val="en-GB"/>
        </w:rPr>
        <w:t>&amp;</w:t>
      </w:r>
      <w:r w:rsidR="005C396A" w:rsidRPr="004F4B9A">
        <w:rPr>
          <w:lang w:val="en-GB"/>
        </w:rPr>
        <w:t xml:space="preserve"> </w:t>
      </w:r>
      <w:r w:rsidRPr="004F4B9A">
        <w:rPr>
          <w:lang w:val="en-GB"/>
        </w:rPr>
        <w:t>D</w:t>
      </w:r>
      <w:r w:rsidR="005C396A" w:rsidRPr="004F4B9A">
        <w:rPr>
          <w:lang w:val="en-GB"/>
        </w:rPr>
        <w:t>evelopment</w:t>
      </w:r>
      <w:r w:rsidRPr="004F4B9A">
        <w:rPr>
          <w:lang w:val="en-GB"/>
        </w:rPr>
        <w:t xml:space="preserve"> work related to the development, validation and test</w:t>
      </w:r>
      <w:r w:rsidR="003C3719">
        <w:rPr>
          <w:lang w:val="en-GB"/>
        </w:rPr>
        <w:t>ing</w:t>
      </w:r>
      <w:r w:rsidRPr="004F4B9A">
        <w:rPr>
          <w:lang w:val="en-GB"/>
        </w:rPr>
        <w:t xml:space="preserve"> of lights and marks to be used during day and night</w:t>
      </w:r>
    </w:p>
    <w:p w:rsidR="005C396A" w:rsidRPr="004F4B9A" w:rsidRDefault="005C396A" w:rsidP="005C396A">
      <w:pPr>
        <w:pStyle w:val="Bullet1"/>
        <w:numPr>
          <w:ilvl w:val="0"/>
          <w:numId w:val="0"/>
        </w:numPr>
        <w:ind w:left="567" w:hanging="567"/>
        <w:rPr>
          <w:lang w:val="en-GB"/>
        </w:rPr>
      </w:pPr>
      <w:r w:rsidRPr="004F4B9A">
        <w:rPr>
          <w:lang w:val="en-GB"/>
        </w:rPr>
        <w:t>ANM requested that EEP should:</w:t>
      </w:r>
    </w:p>
    <w:p w:rsidR="00EF21F5" w:rsidRPr="004F4B9A" w:rsidRDefault="00EF21F5" w:rsidP="00EF21F5">
      <w:pPr>
        <w:pStyle w:val="List1"/>
        <w:numPr>
          <w:ilvl w:val="0"/>
          <w:numId w:val="27"/>
        </w:numPr>
        <w:rPr>
          <w:lang w:val="en-GB"/>
        </w:rPr>
      </w:pPr>
      <w:r w:rsidRPr="004F4B9A">
        <w:rPr>
          <w:lang w:val="en-GB"/>
        </w:rPr>
        <w:t xml:space="preserve">Review the list (outlined in </w:t>
      </w:r>
      <w:r w:rsidR="001A33FC">
        <w:rPr>
          <w:lang w:val="en-GB"/>
        </w:rPr>
        <w:t>A</w:t>
      </w:r>
      <w:r w:rsidR="006543A9">
        <w:rPr>
          <w:lang w:val="en-GB"/>
        </w:rPr>
        <w:t>nnex</w:t>
      </w:r>
      <w:r w:rsidRPr="004F4B9A">
        <w:rPr>
          <w:lang w:val="en-GB"/>
        </w:rPr>
        <w:t xml:space="preserve"> A of the liaison note) of features relevant to be addressed in a supplementary technical guideline on simulation.</w:t>
      </w:r>
    </w:p>
    <w:p w:rsidR="00EF21F5" w:rsidRPr="004F4B9A" w:rsidRDefault="00EF21F5" w:rsidP="00EF21F5">
      <w:pPr>
        <w:pStyle w:val="List1"/>
        <w:numPr>
          <w:ilvl w:val="0"/>
          <w:numId w:val="27"/>
        </w:numPr>
        <w:rPr>
          <w:lang w:val="en-GB"/>
        </w:rPr>
      </w:pPr>
      <w:r w:rsidRPr="004F4B9A">
        <w:rPr>
          <w:lang w:val="en-GB"/>
        </w:rPr>
        <w:t>Provide feedback and comments on the relevanc</w:t>
      </w:r>
      <w:r w:rsidR="003C3719">
        <w:rPr>
          <w:lang w:val="en-GB"/>
        </w:rPr>
        <w:t>e</w:t>
      </w:r>
      <w:r w:rsidRPr="004F4B9A">
        <w:rPr>
          <w:lang w:val="en-GB"/>
        </w:rPr>
        <w:t xml:space="preserve"> of the listed features and whether additional features, relevant to simulation, should be considered in the guideline.</w:t>
      </w:r>
    </w:p>
    <w:p w:rsidR="00902AA4" w:rsidRPr="004F4B9A" w:rsidRDefault="004A3703" w:rsidP="00135447">
      <w:pPr>
        <w:pStyle w:val="Heading1"/>
        <w:rPr>
          <w:lang w:val="en-GB"/>
        </w:rPr>
      </w:pPr>
      <w:r w:rsidRPr="004F4B9A">
        <w:rPr>
          <w:lang w:val="en-GB"/>
        </w:rPr>
        <w:t>Discussion</w:t>
      </w:r>
    </w:p>
    <w:p w:rsidR="004A3703" w:rsidRDefault="006543A9" w:rsidP="004A3703">
      <w:pPr>
        <w:pStyle w:val="BodyText"/>
      </w:pPr>
      <w:r>
        <w:t xml:space="preserve">EEP16 reviewed the list at annex A of the </w:t>
      </w:r>
      <w:r w:rsidR="009174C3">
        <w:t xml:space="preserve">ANM </w:t>
      </w:r>
      <w:r>
        <w:t xml:space="preserve">liaison note and provides a revised list at </w:t>
      </w:r>
      <w:r w:rsidR="001A33FC">
        <w:t>A</w:t>
      </w:r>
      <w:r w:rsidR="00CD7AC5">
        <w:t>nnex A to this liaison note.  The authors rev</w:t>
      </w:r>
      <w:r w:rsidR="009174C3">
        <w:t>i</w:t>
      </w:r>
      <w:r w:rsidR="00CD7AC5">
        <w:t xml:space="preserve">sed the list by </w:t>
      </w:r>
      <w:r w:rsidR="009174C3">
        <w:t>amalgamating some subjects under common headings and by providing additional detail they considered should be used</w:t>
      </w:r>
      <w:r w:rsidR="003C3719">
        <w:t xml:space="preserve"> when</w:t>
      </w:r>
      <w:r w:rsidR="009174C3">
        <w:t xml:space="preserve"> provi</w:t>
      </w:r>
      <w:r w:rsidR="003C3719">
        <w:t>ding</w:t>
      </w:r>
      <w:r w:rsidR="009174C3">
        <w:t xml:space="preserve"> technical detail to simulator manufacturers and providers.</w:t>
      </w:r>
    </w:p>
    <w:p w:rsidR="008520C7" w:rsidRPr="008520C7" w:rsidRDefault="008520C7" w:rsidP="001A33FC">
      <w:pPr>
        <w:pStyle w:val="Heading2"/>
      </w:pPr>
      <w:proofErr w:type="spellStart"/>
      <w:r w:rsidRPr="008520C7">
        <w:t>Past</w:t>
      </w:r>
      <w:proofErr w:type="spellEnd"/>
      <w:r w:rsidRPr="008520C7">
        <w:t xml:space="preserve"> </w:t>
      </w:r>
      <w:proofErr w:type="spellStart"/>
      <w:r w:rsidRPr="008520C7">
        <w:t>experience</w:t>
      </w:r>
      <w:proofErr w:type="spellEnd"/>
      <w:r w:rsidRPr="008520C7">
        <w:t xml:space="preserve"> of </w:t>
      </w:r>
      <w:proofErr w:type="spellStart"/>
      <w:r w:rsidRPr="008520C7">
        <w:t>Simulators</w:t>
      </w:r>
      <w:proofErr w:type="spellEnd"/>
    </w:p>
    <w:p w:rsidR="004157F5" w:rsidRDefault="008520C7" w:rsidP="004A3703">
      <w:pPr>
        <w:pStyle w:val="BodyText"/>
      </w:pPr>
      <w:r>
        <w:t>German Waterways has previously conducted trials in</w:t>
      </w:r>
      <w:r w:rsidR="00B272A5">
        <w:t xml:space="preserve"> </w:t>
      </w:r>
      <w:r w:rsidR="00B272A5" w:rsidRPr="00D24C6D">
        <w:t>2009</w:t>
      </w:r>
      <w:r w:rsidRPr="00D24C6D">
        <w:t>, where</w:t>
      </w:r>
      <w:r>
        <w:t xml:space="preserve"> it used test equipment normally </w:t>
      </w:r>
      <w:r w:rsidR="00D461AE">
        <w:t>used for measuring AtoN in the ‘real’</w:t>
      </w:r>
      <w:r>
        <w:t xml:space="preserve"> world, to measure screens and projection equipment of </w:t>
      </w:r>
      <w:r w:rsidR="00B272A5">
        <w:t xml:space="preserve">a bridge </w:t>
      </w:r>
      <w:proofErr w:type="gramStart"/>
      <w:r w:rsidR="00B272A5">
        <w:t>simulator</w:t>
      </w:r>
      <w:proofErr w:type="gramEnd"/>
      <w:r>
        <w:t xml:space="preserve">.  </w:t>
      </w:r>
    </w:p>
    <w:p w:rsidR="0074022D" w:rsidRDefault="008520C7" w:rsidP="004A3703">
      <w:pPr>
        <w:pStyle w:val="BodyText"/>
      </w:pPr>
      <w:r>
        <w:t>After this trial</w:t>
      </w:r>
      <w:r w:rsidR="004157F5">
        <w:t>,</w:t>
      </w:r>
      <w:r>
        <w:t xml:space="preserve"> it considered that the </w:t>
      </w:r>
      <w:r w:rsidR="004157F5">
        <w:t xml:space="preserve">projectors and </w:t>
      </w:r>
      <w:r w:rsidR="00D461AE">
        <w:t>screens were not of sufficient ‘quality’</w:t>
      </w:r>
      <w:r w:rsidR="004157F5">
        <w:t xml:space="preserve"> for conducting viewing trials as “real-world” scenarios and did not simulate the natural world; however, they were very good for simulation of navigation practices.</w:t>
      </w:r>
    </w:p>
    <w:p w:rsidR="0074022D" w:rsidRDefault="0074022D" w:rsidP="004A3703">
      <w:pPr>
        <w:pStyle w:val="BodyText"/>
      </w:pPr>
      <w:r>
        <w:t>For instance:</w:t>
      </w:r>
    </w:p>
    <w:p w:rsidR="008520C7" w:rsidRDefault="0074022D" w:rsidP="0074022D">
      <w:pPr>
        <w:pStyle w:val="BodyText"/>
        <w:numPr>
          <w:ilvl w:val="0"/>
          <w:numId w:val="28"/>
        </w:numPr>
      </w:pPr>
      <w:r>
        <w:t>The resolution of the screens was insufficient to simulate the resolution of the human eye</w:t>
      </w:r>
    </w:p>
    <w:p w:rsidR="0074022D" w:rsidRDefault="00B272A5" w:rsidP="0074022D">
      <w:pPr>
        <w:pStyle w:val="BodyText"/>
        <w:numPr>
          <w:ilvl w:val="0"/>
          <w:numId w:val="28"/>
        </w:numPr>
      </w:pPr>
      <w:r>
        <w:t xml:space="preserve">The maximum </w:t>
      </w:r>
      <w:proofErr w:type="spellStart"/>
      <w:r>
        <w:t>i</w:t>
      </w:r>
      <w:r w:rsidR="0074022D">
        <w:t>lluminence</w:t>
      </w:r>
      <w:proofErr w:type="spellEnd"/>
      <w:r w:rsidR="0074022D">
        <w:t xml:space="preserve"> of the projectors was about 100-300 Candelas per metre; real-world </w:t>
      </w:r>
      <w:proofErr w:type="spellStart"/>
      <w:r w:rsidR="0074022D">
        <w:t>Illuminence</w:t>
      </w:r>
      <w:proofErr w:type="spellEnd"/>
      <w:r w:rsidR="0074022D">
        <w:t xml:space="preserve"> is around 10,000 candelas per metre</w:t>
      </w:r>
    </w:p>
    <w:p w:rsidR="0074022D" w:rsidRDefault="0074022D" w:rsidP="0074022D">
      <w:pPr>
        <w:pStyle w:val="BodyText"/>
        <w:numPr>
          <w:ilvl w:val="0"/>
          <w:numId w:val="28"/>
        </w:numPr>
      </w:pPr>
      <w:r>
        <w:t>Contrast i</w:t>
      </w:r>
      <w:r w:rsidR="00A03EB0">
        <w:t>s not comparable either; contras</w:t>
      </w:r>
      <w:r>
        <w:t xml:space="preserve">t of computers, projectors and screens is around </w:t>
      </w:r>
      <w:bookmarkStart w:id="1" w:name="OLE_LINK1"/>
      <w:bookmarkStart w:id="2" w:name="OLE_LINK2"/>
      <w:r>
        <w:t>1:1x10</w:t>
      </w:r>
      <w:r w:rsidRPr="0074022D">
        <w:rPr>
          <w:vertAlign w:val="superscript"/>
        </w:rPr>
        <w:t>4</w:t>
      </w:r>
      <w:bookmarkEnd w:id="1"/>
      <w:bookmarkEnd w:id="2"/>
      <w:r>
        <w:t>, actual real-world contrasts are around 1:1x10</w:t>
      </w:r>
      <w:r>
        <w:rPr>
          <w:vertAlign w:val="superscript"/>
        </w:rPr>
        <w:t>7</w:t>
      </w:r>
      <w:r>
        <w:t>.</w:t>
      </w:r>
    </w:p>
    <w:p w:rsidR="0074022D" w:rsidRDefault="00C6341D" w:rsidP="00C6341D">
      <w:pPr>
        <w:pStyle w:val="BodyText"/>
        <w:ind w:left="61"/>
      </w:pPr>
      <w:r>
        <w:lastRenderedPageBreak/>
        <w:t xml:space="preserve">Although simulation is excellent for modelling general navigation techniques, EEP recommends that </w:t>
      </w:r>
      <w:r w:rsidR="003F071C">
        <w:t xml:space="preserve">at this time, </w:t>
      </w:r>
      <w:r>
        <w:t>IALA members should be cautious in utilising simulators for viewing trials</w:t>
      </w:r>
      <w:r w:rsidR="003F071C">
        <w:t xml:space="preserve"> and comparisons of light sources </w:t>
      </w:r>
      <w:r w:rsidR="00A03EB0">
        <w:t xml:space="preserve">and daymarks </w:t>
      </w:r>
      <w:r w:rsidR="003F071C">
        <w:t>for R&amp;D purposes</w:t>
      </w:r>
      <w:r>
        <w:t>.</w:t>
      </w:r>
    </w:p>
    <w:p w:rsidR="001A33FC" w:rsidRDefault="001A33FC" w:rsidP="001A33FC">
      <w:pPr>
        <w:pStyle w:val="Heading1"/>
      </w:pPr>
      <w:r>
        <w:t xml:space="preserve">Action </w:t>
      </w:r>
      <w:proofErr w:type="spellStart"/>
      <w:r>
        <w:t>requested</w:t>
      </w:r>
      <w:proofErr w:type="spellEnd"/>
    </w:p>
    <w:p w:rsidR="009174C3" w:rsidRDefault="008520C7" w:rsidP="004A3703">
      <w:pPr>
        <w:pStyle w:val="BodyText"/>
      </w:pPr>
      <w:r>
        <w:t xml:space="preserve">Due to the highly technical subject matter, </w:t>
      </w:r>
      <w:r w:rsidR="009174C3">
        <w:t xml:space="preserve">EEP considers that it is best placed to provide technical details to simulator providers.  Therefore, after the user analysis has taken place, EEP </w:t>
      </w:r>
      <w:r w:rsidR="008A5AF5">
        <w:t xml:space="preserve">requests that it </w:t>
      </w:r>
      <w:r w:rsidR="009174C3">
        <w:t>should be provided with the detailed requirements in order that these should be considered for the provision of technical details to manufacturers and providers of simulation equipment where required.</w:t>
      </w:r>
    </w:p>
    <w:p w:rsidR="009174C3" w:rsidRPr="004F4B9A" w:rsidRDefault="009174C3" w:rsidP="004A3703">
      <w:pPr>
        <w:pStyle w:val="BodyText"/>
      </w:pPr>
      <w:r>
        <w:t xml:space="preserve"> </w:t>
      </w:r>
    </w:p>
    <w:p w:rsidR="004A3703" w:rsidRPr="004F4B9A" w:rsidRDefault="004A3703">
      <w:pPr>
        <w:rPr>
          <w:rFonts w:eastAsia="Calibri" w:cs="Calibri"/>
          <w:szCs w:val="22"/>
          <w:highlight w:val="yellow"/>
          <w:lang w:eastAsia="en-GB"/>
        </w:rPr>
      </w:pPr>
      <w:r w:rsidRPr="004F4B9A">
        <w:rPr>
          <w:highlight w:val="yellow"/>
        </w:rPr>
        <w:br w:type="page"/>
      </w:r>
    </w:p>
    <w:p w:rsidR="004A3703" w:rsidRPr="004F4B9A" w:rsidRDefault="004A3703" w:rsidP="004A3703">
      <w:pPr>
        <w:pStyle w:val="Annex"/>
        <w:tabs>
          <w:tab w:val="clear" w:pos="567"/>
        </w:tabs>
        <w:ind w:left="1701" w:hanging="1701"/>
        <w:rPr>
          <w:sz w:val="28"/>
          <w:szCs w:val="28"/>
          <w:lang w:val="en-GB"/>
        </w:rPr>
      </w:pPr>
      <w:r w:rsidRPr="004F4B9A">
        <w:rPr>
          <w:sz w:val="28"/>
          <w:szCs w:val="28"/>
          <w:lang w:val="en-GB"/>
        </w:rPr>
        <w:lastRenderedPageBreak/>
        <w:t>Preliminary list of features relevant to be addressed in a supplementary technical guideline on simulation</w:t>
      </w:r>
      <w:r w:rsidR="00EF21F5" w:rsidRPr="004F4B9A">
        <w:rPr>
          <w:sz w:val="28"/>
          <w:szCs w:val="28"/>
          <w:lang w:val="en-GB"/>
        </w:rPr>
        <w:t xml:space="preserve"> (amended at EEP16)</w:t>
      </w:r>
    </w:p>
    <w:p w:rsidR="004A3703" w:rsidRPr="004F4B9A" w:rsidRDefault="004A3703" w:rsidP="004A3703">
      <w:pPr>
        <w:rPr>
          <w:lang w:eastAsia="de-DE"/>
        </w:rPr>
      </w:pPr>
    </w:p>
    <w:p w:rsidR="004A3703" w:rsidRDefault="004A3703" w:rsidP="004A3703">
      <w:pPr>
        <w:pStyle w:val="List1"/>
        <w:numPr>
          <w:ilvl w:val="0"/>
          <w:numId w:val="26"/>
        </w:numPr>
        <w:rPr>
          <w:lang w:val="en-GB"/>
        </w:rPr>
      </w:pPr>
      <w:r w:rsidRPr="004F4B9A">
        <w:rPr>
          <w:lang w:val="en-GB"/>
        </w:rPr>
        <w:t>Colours of lights and da</w:t>
      </w:r>
      <w:r w:rsidR="00EF21F5" w:rsidRPr="004F4B9A">
        <w:rPr>
          <w:lang w:val="en-GB"/>
        </w:rPr>
        <w:t>y</w:t>
      </w:r>
      <w:r w:rsidRPr="004F4B9A">
        <w:rPr>
          <w:lang w:val="en-GB"/>
        </w:rPr>
        <w:t>marks</w:t>
      </w:r>
    </w:p>
    <w:p w:rsidR="00D24C6D" w:rsidRPr="004F4B9A" w:rsidRDefault="00D24C6D" w:rsidP="004A3703">
      <w:pPr>
        <w:pStyle w:val="List1"/>
        <w:numPr>
          <w:ilvl w:val="0"/>
          <w:numId w:val="26"/>
        </w:numPr>
        <w:rPr>
          <w:lang w:val="en-GB"/>
        </w:rPr>
      </w:pPr>
      <w:r>
        <w:rPr>
          <w:lang w:val="en-GB"/>
        </w:rPr>
        <w:t>Size of daymarks</w:t>
      </w:r>
    </w:p>
    <w:p w:rsidR="004A3703" w:rsidRPr="004F4B9A" w:rsidRDefault="004A3703" w:rsidP="004A3703">
      <w:pPr>
        <w:pStyle w:val="List1"/>
        <w:rPr>
          <w:lang w:val="en-GB"/>
        </w:rPr>
      </w:pPr>
      <w:r w:rsidRPr="004F4B9A">
        <w:rPr>
          <w:lang w:val="en-GB"/>
        </w:rPr>
        <w:t>Background light intensity</w:t>
      </w:r>
      <w:r w:rsidR="00F254DF" w:rsidRPr="004F4B9A">
        <w:rPr>
          <w:lang w:val="en-GB"/>
        </w:rPr>
        <w:t>:</w:t>
      </w:r>
    </w:p>
    <w:p w:rsidR="00A03EB0" w:rsidRDefault="00F254DF" w:rsidP="00F254DF">
      <w:pPr>
        <w:pStyle w:val="List1indent1"/>
        <w:rPr>
          <w:lang w:val="en-GB"/>
        </w:rPr>
      </w:pPr>
      <w:r w:rsidRPr="00A03EB0">
        <w:rPr>
          <w:lang w:val="en-GB"/>
        </w:rPr>
        <w:t xml:space="preserve">Sky glow covering both ambient </w:t>
      </w:r>
      <w:r w:rsidR="00A03EB0">
        <w:rPr>
          <w:lang w:val="en-GB"/>
        </w:rPr>
        <w:t>light</w:t>
      </w:r>
    </w:p>
    <w:p w:rsidR="00F254DF" w:rsidRPr="00A03EB0" w:rsidRDefault="00F254DF" w:rsidP="00F254DF">
      <w:pPr>
        <w:pStyle w:val="List1indent1"/>
        <w:rPr>
          <w:lang w:val="en-GB"/>
        </w:rPr>
      </w:pPr>
      <w:r w:rsidRPr="00A03EB0">
        <w:rPr>
          <w:lang w:val="en-GB"/>
        </w:rPr>
        <w:t>Glare above cities</w:t>
      </w:r>
    </w:p>
    <w:p w:rsidR="00F254DF" w:rsidRPr="004F4B9A" w:rsidRDefault="00F254DF" w:rsidP="00F254DF">
      <w:pPr>
        <w:pStyle w:val="List1indent1"/>
        <w:rPr>
          <w:lang w:val="en-GB"/>
        </w:rPr>
      </w:pPr>
      <w:r w:rsidRPr="004F4B9A">
        <w:rPr>
          <w:lang w:val="en-GB"/>
        </w:rPr>
        <w:t>Influence of moving objects onshore like e.g. cars, port operations, aircraft ground movements</w:t>
      </w:r>
    </w:p>
    <w:p w:rsidR="00F254DF" w:rsidRPr="004F4B9A" w:rsidRDefault="00F254DF" w:rsidP="00F254DF">
      <w:pPr>
        <w:pStyle w:val="List1indent1"/>
        <w:rPr>
          <w:lang w:val="en-GB"/>
        </w:rPr>
      </w:pPr>
      <w:r w:rsidRPr="004F4B9A">
        <w:rPr>
          <w:lang w:val="en-GB"/>
        </w:rPr>
        <w:t>Reflection of light from structures</w:t>
      </w:r>
    </w:p>
    <w:p w:rsidR="00F254DF" w:rsidRPr="004F4B9A" w:rsidRDefault="00F254DF" w:rsidP="004F4B9A">
      <w:pPr>
        <w:pStyle w:val="List1indent1"/>
        <w:rPr>
          <w:lang w:val="en-GB"/>
        </w:rPr>
      </w:pPr>
      <w:r w:rsidRPr="004F4B9A">
        <w:rPr>
          <w:lang w:val="en-GB"/>
        </w:rPr>
        <w:t>Cultural lights dispersal in the atmosphere</w:t>
      </w:r>
    </w:p>
    <w:p w:rsidR="004A3703" w:rsidRPr="004F4B9A" w:rsidRDefault="00EF21F5" w:rsidP="004A3703">
      <w:pPr>
        <w:pStyle w:val="List1"/>
        <w:rPr>
          <w:lang w:val="en-GB"/>
        </w:rPr>
      </w:pPr>
      <w:r w:rsidRPr="004F4B9A">
        <w:rPr>
          <w:lang w:val="en-GB"/>
        </w:rPr>
        <w:t>The influence of on-shore back</w:t>
      </w:r>
      <w:r w:rsidR="004A3703" w:rsidRPr="004F4B9A">
        <w:rPr>
          <w:lang w:val="en-GB"/>
        </w:rPr>
        <w:t>ground lights</w:t>
      </w:r>
      <w:r w:rsidRPr="004F4B9A">
        <w:rPr>
          <w:lang w:val="en-GB"/>
        </w:rPr>
        <w:t xml:space="preserve"> (rival lights)</w:t>
      </w:r>
    </w:p>
    <w:p w:rsidR="004A3703" w:rsidRPr="004F4B9A" w:rsidRDefault="00EF21F5" w:rsidP="004A3703">
      <w:pPr>
        <w:pStyle w:val="List1"/>
        <w:rPr>
          <w:lang w:val="en-GB"/>
        </w:rPr>
      </w:pPr>
      <w:r w:rsidRPr="004F4B9A">
        <w:rPr>
          <w:lang w:val="en-GB"/>
        </w:rPr>
        <w:t>Use of fluorescent paint on day</w:t>
      </w:r>
      <w:r w:rsidR="004A3703" w:rsidRPr="004F4B9A">
        <w:rPr>
          <w:lang w:val="en-GB"/>
        </w:rPr>
        <w:t>marks</w:t>
      </w:r>
    </w:p>
    <w:p w:rsidR="004A3703" w:rsidRPr="004F4B9A" w:rsidRDefault="004A3703" w:rsidP="004A3703">
      <w:pPr>
        <w:pStyle w:val="List1"/>
        <w:rPr>
          <w:lang w:val="en-GB"/>
        </w:rPr>
      </w:pPr>
      <w:r w:rsidRPr="004F4B9A">
        <w:rPr>
          <w:lang w:val="en-GB"/>
        </w:rPr>
        <w:t>Flickering lights</w:t>
      </w:r>
    </w:p>
    <w:p w:rsidR="004A3703" w:rsidRPr="00EB78AB" w:rsidRDefault="004A3703" w:rsidP="004A3703">
      <w:pPr>
        <w:pStyle w:val="List1"/>
        <w:rPr>
          <w:lang w:val="en-GB"/>
        </w:rPr>
      </w:pPr>
      <w:r w:rsidRPr="004F4B9A">
        <w:rPr>
          <w:lang w:val="en-GB"/>
        </w:rPr>
        <w:t>Contrast</w:t>
      </w:r>
      <w:r w:rsidR="00EF21F5" w:rsidRPr="004F4B9A">
        <w:rPr>
          <w:lang w:val="en-GB"/>
        </w:rPr>
        <w:t xml:space="preserve"> (colour </w:t>
      </w:r>
      <w:r w:rsidR="00EF21F5" w:rsidRPr="00EB78AB">
        <w:rPr>
          <w:lang w:val="en-GB"/>
        </w:rPr>
        <w:t>and luminance)</w:t>
      </w:r>
    </w:p>
    <w:p w:rsidR="00F254DF" w:rsidRPr="004F4B9A" w:rsidRDefault="00F254DF" w:rsidP="00F254DF">
      <w:pPr>
        <w:pStyle w:val="List1"/>
        <w:rPr>
          <w:lang w:val="en-GB"/>
        </w:rPr>
      </w:pPr>
      <w:r w:rsidRPr="004F4B9A">
        <w:rPr>
          <w:lang w:val="en-GB"/>
        </w:rPr>
        <w:t>Day/Night/Dusk/Dawn light conditions (linked to contrast and visibility)</w:t>
      </w:r>
    </w:p>
    <w:p w:rsidR="004A3703" w:rsidRPr="004F4B9A" w:rsidRDefault="004A3703" w:rsidP="004A3703">
      <w:pPr>
        <w:pStyle w:val="List1"/>
        <w:rPr>
          <w:lang w:val="en-GB"/>
        </w:rPr>
      </w:pPr>
      <w:r w:rsidRPr="004F4B9A">
        <w:rPr>
          <w:lang w:val="en-GB"/>
        </w:rPr>
        <w:t xml:space="preserve">Flashing light </w:t>
      </w:r>
      <w:r w:rsidR="00872D2F" w:rsidRPr="004F4B9A">
        <w:rPr>
          <w:lang w:val="en-GB"/>
        </w:rPr>
        <w:t>caused by</w:t>
      </w:r>
      <w:r w:rsidRPr="004F4B9A">
        <w:rPr>
          <w:lang w:val="en-GB"/>
        </w:rPr>
        <w:t xml:space="preserve"> rotating wind </w:t>
      </w:r>
      <w:r w:rsidR="00872D2F" w:rsidRPr="004F4B9A">
        <w:rPr>
          <w:lang w:val="en-GB"/>
        </w:rPr>
        <w:t>turbine</w:t>
      </w:r>
      <w:r w:rsidRPr="004F4B9A">
        <w:rPr>
          <w:lang w:val="en-GB"/>
        </w:rPr>
        <w:t xml:space="preserve"> blades</w:t>
      </w:r>
    </w:p>
    <w:p w:rsidR="004A3703" w:rsidRPr="004F4B9A" w:rsidRDefault="004A3703" w:rsidP="004A3703">
      <w:pPr>
        <w:pStyle w:val="List1"/>
        <w:rPr>
          <w:lang w:val="en-GB"/>
        </w:rPr>
      </w:pPr>
      <w:r w:rsidRPr="004F4B9A">
        <w:rPr>
          <w:lang w:val="en-GB"/>
        </w:rPr>
        <w:t xml:space="preserve">The nature of light distribution </w:t>
      </w:r>
      <w:r w:rsidR="00872D2F" w:rsidRPr="004F4B9A">
        <w:rPr>
          <w:lang w:val="en-GB"/>
        </w:rPr>
        <w:t>by</w:t>
      </w:r>
      <w:r w:rsidRPr="004F4B9A">
        <w:rPr>
          <w:lang w:val="en-GB"/>
        </w:rPr>
        <w:t xml:space="preserve"> </w:t>
      </w:r>
      <w:r w:rsidR="00872D2F" w:rsidRPr="004F4B9A">
        <w:rPr>
          <w:lang w:val="en-GB"/>
        </w:rPr>
        <w:t>atmospheric conditions</w:t>
      </w:r>
      <w:r w:rsidR="00324437" w:rsidRPr="004F4B9A">
        <w:rPr>
          <w:lang w:val="en-GB"/>
        </w:rPr>
        <w:t>.  For example:</w:t>
      </w:r>
    </w:p>
    <w:p w:rsidR="00324437" w:rsidRPr="004F4B9A" w:rsidRDefault="00324437" w:rsidP="00324437">
      <w:pPr>
        <w:pStyle w:val="List1indent1"/>
        <w:rPr>
          <w:lang w:val="en-GB"/>
        </w:rPr>
      </w:pPr>
      <w:r w:rsidRPr="004F4B9A">
        <w:rPr>
          <w:lang w:val="en-GB"/>
        </w:rPr>
        <w:t>Visibility</w:t>
      </w:r>
    </w:p>
    <w:p w:rsidR="00324437" w:rsidRPr="004F4B9A" w:rsidRDefault="00324437" w:rsidP="00324437">
      <w:pPr>
        <w:pStyle w:val="List1indent1"/>
        <w:rPr>
          <w:lang w:val="en-GB"/>
        </w:rPr>
      </w:pPr>
      <w:r w:rsidRPr="004F4B9A">
        <w:rPr>
          <w:lang w:val="en-GB"/>
        </w:rPr>
        <w:t>Humidity</w:t>
      </w:r>
    </w:p>
    <w:p w:rsidR="00324437" w:rsidRPr="004F4B9A" w:rsidRDefault="00324437" w:rsidP="00324437">
      <w:pPr>
        <w:pStyle w:val="List1indent1"/>
        <w:rPr>
          <w:lang w:val="en-GB"/>
        </w:rPr>
      </w:pPr>
      <w:r w:rsidRPr="004F4B9A">
        <w:rPr>
          <w:lang w:val="en-GB"/>
        </w:rPr>
        <w:t>Air temperature</w:t>
      </w:r>
    </w:p>
    <w:p w:rsidR="00324437" w:rsidRPr="004F4B9A" w:rsidRDefault="00324437" w:rsidP="00324437">
      <w:pPr>
        <w:pStyle w:val="List1indent1"/>
        <w:rPr>
          <w:lang w:val="en-GB"/>
        </w:rPr>
      </w:pPr>
      <w:r w:rsidRPr="004F4B9A">
        <w:rPr>
          <w:lang w:val="en-GB"/>
        </w:rPr>
        <w:t>Pollution</w:t>
      </w:r>
    </w:p>
    <w:p w:rsidR="004A3703" w:rsidRPr="004F4B9A" w:rsidRDefault="00324437" w:rsidP="004A3703">
      <w:pPr>
        <w:pStyle w:val="List1"/>
        <w:rPr>
          <w:lang w:val="en-GB"/>
        </w:rPr>
      </w:pPr>
      <w:r w:rsidRPr="004F4B9A">
        <w:rPr>
          <w:lang w:val="en-GB"/>
        </w:rPr>
        <w:t xml:space="preserve">Light affected by </w:t>
      </w:r>
      <w:r w:rsidR="00A03EB0">
        <w:rPr>
          <w:lang w:val="en-GB"/>
        </w:rPr>
        <w:t>angle of sun</w:t>
      </w:r>
    </w:p>
    <w:p w:rsidR="004F4B9A" w:rsidRDefault="004F4B9A" w:rsidP="004A3703">
      <w:pPr>
        <w:pStyle w:val="List1"/>
        <w:rPr>
          <w:lang w:val="en-GB"/>
        </w:rPr>
      </w:pPr>
      <w:r w:rsidRPr="004F4B9A">
        <w:rPr>
          <w:lang w:val="en-GB"/>
        </w:rPr>
        <w:t>Effect of AtoN failures</w:t>
      </w:r>
    </w:p>
    <w:p w:rsidR="00EB78AB" w:rsidRDefault="00EB78AB" w:rsidP="004A3703">
      <w:pPr>
        <w:pStyle w:val="List1"/>
        <w:rPr>
          <w:lang w:val="en-GB"/>
        </w:rPr>
      </w:pPr>
      <w:r>
        <w:rPr>
          <w:lang w:val="en-GB"/>
        </w:rPr>
        <w:t>Synchronised and sequential lights</w:t>
      </w:r>
    </w:p>
    <w:p w:rsidR="004A3703" w:rsidRPr="00D24C6D" w:rsidRDefault="00EB78AB" w:rsidP="004A3703">
      <w:pPr>
        <w:pStyle w:val="List1"/>
        <w:rPr>
          <w:lang w:val="en-GB"/>
        </w:rPr>
      </w:pPr>
      <w:r>
        <w:rPr>
          <w:lang w:val="en-GB"/>
        </w:rPr>
        <w:t>Tide and sea-state conditions</w:t>
      </w:r>
    </w:p>
    <w:sectPr w:rsidR="004A3703" w:rsidRPr="00D24C6D" w:rsidSect="005D05AC"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869" w:rsidRDefault="00BE6869" w:rsidP="00002906">
      <w:r>
        <w:separator/>
      </w:r>
    </w:p>
  </w:endnote>
  <w:endnote w:type="continuationSeparator" w:id="0">
    <w:p w:rsidR="00BE6869" w:rsidRDefault="00BE6869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6E7E9C">
      <w:fldChar w:fldCharType="begin"/>
    </w:r>
    <w:r>
      <w:instrText xml:space="preserve"> PAGE   \* MERGEFORMAT </w:instrText>
    </w:r>
    <w:r w:rsidR="006E7E9C">
      <w:fldChar w:fldCharType="separate"/>
    </w:r>
    <w:r w:rsidR="00CC7BA3">
      <w:rPr>
        <w:noProof/>
      </w:rPr>
      <w:t>1</w:t>
    </w:r>
    <w:r w:rsidR="006E7E9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869" w:rsidRDefault="00BE6869" w:rsidP="00002906">
      <w:r>
        <w:separator/>
      </w:r>
    </w:p>
  </w:footnote>
  <w:footnote w:type="continuationSeparator" w:id="0">
    <w:p w:rsidR="00BE6869" w:rsidRDefault="00BE6869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2BAB7850"/>
    <w:multiLevelType w:val="hybridMultilevel"/>
    <w:tmpl w:val="ADE24084"/>
    <w:lvl w:ilvl="0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F3362C"/>
    <w:multiLevelType w:val="hybridMultilevel"/>
    <w:tmpl w:val="06EA801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3B03E1"/>
    <w:multiLevelType w:val="hybridMultilevel"/>
    <w:tmpl w:val="07627CAE"/>
    <w:lvl w:ilvl="0" w:tplc="08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9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CA93CB8"/>
    <w:multiLevelType w:val="multilevel"/>
    <w:tmpl w:val="4154C07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1"/>
  </w:num>
  <w:num w:numId="4">
    <w:abstractNumId w:val="11"/>
  </w:num>
  <w:num w:numId="5">
    <w:abstractNumId w:val="4"/>
  </w:num>
  <w:num w:numId="6">
    <w:abstractNumId w:val="12"/>
  </w:num>
  <w:num w:numId="7">
    <w:abstractNumId w:val="9"/>
  </w:num>
  <w:num w:numId="8">
    <w:abstractNumId w:val="0"/>
  </w:num>
  <w:num w:numId="9">
    <w:abstractNumId w:val="3"/>
  </w:num>
  <w:num w:numId="10">
    <w:abstractNumId w:val="1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5"/>
  </w:num>
  <w:num w:numId="18">
    <w:abstractNumId w:val="2"/>
  </w:num>
  <w:num w:numId="19">
    <w:abstractNumId w:val="14"/>
  </w:num>
  <w:num w:numId="20">
    <w:abstractNumId w:val="10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6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03"/>
    <w:rsid w:val="00002906"/>
    <w:rsid w:val="00031A92"/>
    <w:rsid w:val="000348ED"/>
    <w:rsid w:val="00036801"/>
    <w:rsid w:val="00050DA7"/>
    <w:rsid w:val="000A5A01"/>
    <w:rsid w:val="00135447"/>
    <w:rsid w:val="00152273"/>
    <w:rsid w:val="001A33FC"/>
    <w:rsid w:val="001A654A"/>
    <w:rsid w:val="001C74CF"/>
    <w:rsid w:val="00212CA7"/>
    <w:rsid w:val="002650A8"/>
    <w:rsid w:val="00324437"/>
    <w:rsid w:val="00374737"/>
    <w:rsid w:val="003C3719"/>
    <w:rsid w:val="003D55DD"/>
    <w:rsid w:val="003E1831"/>
    <w:rsid w:val="003F071C"/>
    <w:rsid w:val="004157F5"/>
    <w:rsid w:val="00424954"/>
    <w:rsid w:val="00457502"/>
    <w:rsid w:val="004A3703"/>
    <w:rsid w:val="004C1386"/>
    <w:rsid w:val="004C220D"/>
    <w:rsid w:val="004F4B9A"/>
    <w:rsid w:val="005C396A"/>
    <w:rsid w:val="005D05AC"/>
    <w:rsid w:val="0062595B"/>
    <w:rsid w:val="00630F7F"/>
    <w:rsid w:val="0064435F"/>
    <w:rsid w:val="006543A9"/>
    <w:rsid w:val="00676A7F"/>
    <w:rsid w:val="006823A6"/>
    <w:rsid w:val="006A1C5A"/>
    <w:rsid w:val="006C57CC"/>
    <w:rsid w:val="006D470F"/>
    <w:rsid w:val="006E7E9C"/>
    <w:rsid w:val="00727E88"/>
    <w:rsid w:val="0074022D"/>
    <w:rsid w:val="00775878"/>
    <w:rsid w:val="0080092C"/>
    <w:rsid w:val="008520C7"/>
    <w:rsid w:val="00872453"/>
    <w:rsid w:val="00872D2F"/>
    <w:rsid w:val="008A5AF5"/>
    <w:rsid w:val="008F13DD"/>
    <w:rsid w:val="00902AA4"/>
    <w:rsid w:val="00913829"/>
    <w:rsid w:val="009174C3"/>
    <w:rsid w:val="009F3B6C"/>
    <w:rsid w:val="009F5C36"/>
    <w:rsid w:val="00A03EB0"/>
    <w:rsid w:val="00A27F12"/>
    <w:rsid w:val="00A30579"/>
    <w:rsid w:val="00AA76C0"/>
    <w:rsid w:val="00AD673D"/>
    <w:rsid w:val="00B077EC"/>
    <w:rsid w:val="00B15B24"/>
    <w:rsid w:val="00B272A5"/>
    <w:rsid w:val="00B507EF"/>
    <w:rsid w:val="00B8247E"/>
    <w:rsid w:val="00BE09B4"/>
    <w:rsid w:val="00BE6869"/>
    <w:rsid w:val="00C43FD7"/>
    <w:rsid w:val="00C6341D"/>
    <w:rsid w:val="00C76CE6"/>
    <w:rsid w:val="00CA04AF"/>
    <w:rsid w:val="00CC7BA3"/>
    <w:rsid w:val="00CD7AC5"/>
    <w:rsid w:val="00CE5467"/>
    <w:rsid w:val="00D24C6D"/>
    <w:rsid w:val="00D461AE"/>
    <w:rsid w:val="00E93C9B"/>
    <w:rsid w:val="00EB78AB"/>
    <w:rsid w:val="00EE3F2F"/>
    <w:rsid w:val="00EF21F5"/>
    <w:rsid w:val="00F254DF"/>
    <w:rsid w:val="00F32F46"/>
    <w:rsid w:val="00F73F78"/>
    <w:rsid w:val="00FA3053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4A3703"/>
    <w:pPr>
      <w:spacing w:after="200" w:line="276" w:lineRule="auto"/>
      <w:ind w:left="720"/>
      <w:contextualSpacing/>
    </w:pPr>
    <w:rPr>
      <w:rFonts w:ascii="Tahoma" w:eastAsiaTheme="minorEastAsia" w:hAnsi="Tahoma" w:cs="Tahoma"/>
      <w:sz w:val="20"/>
      <w:lang w:val="da-DK" w:eastAsia="zh-CN"/>
    </w:rPr>
  </w:style>
  <w:style w:type="paragraph" w:styleId="FootnoteText">
    <w:name w:val="footnote text"/>
    <w:basedOn w:val="Normal"/>
    <w:link w:val="FootnoteTextChar"/>
    <w:rsid w:val="00872D2F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72D2F"/>
    <w:rPr>
      <w:rFonts w:ascii="Arial" w:hAnsi="Arial"/>
      <w:lang w:eastAsia="en-US"/>
    </w:rPr>
  </w:style>
  <w:style w:type="character" w:styleId="FootnoteReference">
    <w:name w:val="footnote reference"/>
    <w:basedOn w:val="DefaultParagraphFont"/>
    <w:rsid w:val="00872D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ListParagraph">
    <w:name w:val="List Paragraph"/>
    <w:basedOn w:val="Normal"/>
    <w:uiPriority w:val="34"/>
    <w:qFormat/>
    <w:rsid w:val="004A3703"/>
    <w:pPr>
      <w:spacing w:after="200" w:line="276" w:lineRule="auto"/>
      <w:ind w:left="720"/>
      <w:contextualSpacing/>
    </w:pPr>
    <w:rPr>
      <w:rFonts w:ascii="Tahoma" w:eastAsiaTheme="minorEastAsia" w:hAnsi="Tahoma" w:cs="Tahoma"/>
      <w:sz w:val="20"/>
      <w:lang w:val="da-DK" w:eastAsia="zh-CN"/>
    </w:rPr>
  </w:style>
  <w:style w:type="paragraph" w:styleId="FootnoteText">
    <w:name w:val="footnote text"/>
    <w:basedOn w:val="Normal"/>
    <w:link w:val="FootnoteTextChar"/>
    <w:rsid w:val="00872D2F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872D2F"/>
    <w:rPr>
      <w:rFonts w:ascii="Arial" w:hAnsi="Arial"/>
      <w:lang w:eastAsia="en-US"/>
    </w:rPr>
  </w:style>
  <w:style w:type="character" w:styleId="FootnoteReference">
    <w:name w:val="footnote reference"/>
    <w:basedOn w:val="DefaultParagraphFont"/>
    <w:rsid w:val="00872D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dley\Documents\A_Work\IALA\Committees\Administration%20-%20Committee%20File\Current%20templates\Internal%20Committee%20Liaison%20Note%20Template%20rev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F148E-704D-4980-9D25-F94410953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rev3.dotx</Template>
  <TotalTime>0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3</cp:revision>
  <cp:lastPrinted>2006-10-19T10:49:00Z</cp:lastPrinted>
  <dcterms:created xsi:type="dcterms:W3CDTF">2011-06-08T12:32:00Z</dcterms:created>
  <dcterms:modified xsi:type="dcterms:W3CDTF">2011-06-16T09:25:00Z</dcterms:modified>
</cp:coreProperties>
</file>